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6A" w:rsidRDefault="0030066A">
      <w:pPr>
        <w:pStyle w:val="ConsPlusTitlePage"/>
      </w:pPr>
      <w:r>
        <w:t xml:space="preserve">Документ предоставлен </w:t>
      </w:r>
      <w:hyperlink r:id="rId4" w:history="1">
        <w:r>
          <w:rPr>
            <w:color w:val="0000FF"/>
          </w:rPr>
          <w:t>КонсультантПлюс</w:t>
        </w:r>
      </w:hyperlink>
      <w:r>
        <w:br/>
      </w:r>
    </w:p>
    <w:p w:rsidR="0030066A" w:rsidRDefault="0030066A">
      <w:pPr>
        <w:pStyle w:val="ConsPlusNormal"/>
        <w:jc w:val="both"/>
        <w:outlineLvl w:val="0"/>
      </w:pPr>
    </w:p>
    <w:p w:rsidR="0030066A" w:rsidRDefault="0030066A">
      <w:pPr>
        <w:pStyle w:val="ConsPlusNormal"/>
        <w:outlineLvl w:val="0"/>
      </w:pPr>
      <w:r>
        <w:t>Зарегистрировано в Минюсте РФ 23 января 2008 г. N 10993</w:t>
      </w:r>
    </w:p>
    <w:p w:rsidR="0030066A" w:rsidRDefault="0030066A">
      <w:pPr>
        <w:pStyle w:val="ConsPlusNormal"/>
        <w:pBdr>
          <w:top w:val="single" w:sz="6" w:space="0" w:color="auto"/>
        </w:pBdr>
        <w:spacing w:before="100" w:after="100"/>
        <w:jc w:val="both"/>
        <w:rPr>
          <w:sz w:val="2"/>
          <w:szCs w:val="2"/>
        </w:rPr>
      </w:pPr>
    </w:p>
    <w:p w:rsidR="0030066A" w:rsidRDefault="0030066A">
      <w:pPr>
        <w:pStyle w:val="ConsPlusNormal"/>
        <w:jc w:val="center"/>
      </w:pPr>
    </w:p>
    <w:p w:rsidR="0030066A" w:rsidRDefault="0030066A">
      <w:pPr>
        <w:pStyle w:val="ConsPlusTitle"/>
        <w:jc w:val="center"/>
      </w:pPr>
      <w:r>
        <w:t>МИНИСТЕРСТВО ИНФОРМАЦИОННЫХ ТЕХНОЛОГИЙ И СВЯЗИ</w:t>
      </w:r>
    </w:p>
    <w:p w:rsidR="0030066A" w:rsidRDefault="0030066A">
      <w:pPr>
        <w:pStyle w:val="ConsPlusTitle"/>
        <w:jc w:val="center"/>
      </w:pPr>
      <w:r>
        <w:t>РОССИЙСКОЙ ФЕДЕРАЦИИ</w:t>
      </w:r>
    </w:p>
    <w:p w:rsidR="0030066A" w:rsidRDefault="0030066A">
      <w:pPr>
        <w:pStyle w:val="ConsPlusTitle"/>
        <w:jc w:val="center"/>
      </w:pPr>
    </w:p>
    <w:p w:rsidR="0030066A" w:rsidRDefault="0030066A">
      <w:pPr>
        <w:pStyle w:val="ConsPlusTitle"/>
        <w:jc w:val="center"/>
      </w:pPr>
      <w:r>
        <w:t>ПРИКАЗ</w:t>
      </w:r>
    </w:p>
    <w:p w:rsidR="0030066A" w:rsidRDefault="0030066A">
      <w:pPr>
        <w:pStyle w:val="ConsPlusTitle"/>
        <w:jc w:val="center"/>
      </w:pPr>
      <w:r>
        <w:t>от 9 января 2008 г. N 1</w:t>
      </w:r>
    </w:p>
    <w:p w:rsidR="0030066A" w:rsidRDefault="0030066A">
      <w:pPr>
        <w:pStyle w:val="ConsPlusTitle"/>
        <w:jc w:val="center"/>
      </w:pPr>
    </w:p>
    <w:p w:rsidR="0030066A" w:rsidRDefault="0030066A">
      <w:pPr>
        <w:pStyle w:val="ConsPlusTitle"/>
        <w:jc w:val="center"/>
      </w:pPr>
      <w:r>
        <w:t>ОБ УТВЕРЖДЕНИИ ТРЕБОВАНИЙ</w:t>
      </w:r>
    </w:p>
    <w:p w:rsidR="0030066A" w:rsidRDefault="0030066A">
      <w:pPr>
        <w:pStyle w:val="ConsPlusTitle"/>
        <w:jc w:val="center"/>
      </w:pPr>
      <w:r>
        <w:t>ПО ЗАЩИТЕ СЕТЕЙ СВЯЗИ ОТ НЕСАНКЦИОНИРОВАННОГО ДОСТУПА</w:t>
      </w:r>
    </w:p>
    <w:p w:rsidR="0030066A" w:rsidRDefault="0030066A">
      <w:pPr>
        <w:pStyle w:val="ConsPlusTitle"/>
        <w:jc w:val="center"/>
      </w:pPr>
      <w:r>
        <w:t>К НИМ И ПЕРЕДАВАЕМОЙ ПОСРЕДСТВОМ ИХ ИНФОРМАЦИИ</w:t>
      </w:r>
    </w:p>
    <w:p w:rsidR="0030066A" w:rsidRDefault="0030066A">
      <w:pPr>
        <w:pStyle w:val="ConsPlusNormal"/>
        <w:ind w:firstLine="540"/>
        <w:jc w:val="both"/>
      </w:pPr>
    </w:p>
    <w:p w:rsidR="0030066A" w:rsidRDefault="0030066A">
      <w:pPr>
        <w:pStyle w:val="ConsPlusNormal"/>
        <w:ind w:firstLine="540"/>
        <w:jc w:val="both"/>
      </w:pPr>
      <w:r>
        <w:t xml:space="preserve">В соответствии со </w:t>
      </w:r>
      <w:hyperlink r:id="rId5" w:history="1">
        <w:r>
          <w:rPr>
            <w:color w:val="0000FF"/>
          </w:rPr>
          <w:t>статьей 12</w:t>
        </w:r>
      </w:hyperlink>
      <w:r>
        <w:t xml:space="preserve"> и </w:t>
      </w:r>
      <w:hyperlink r:id="rId6" w:history="1">
        <w:r>
          <w:rPr>
            <w:color w:val="0000FF"/>
          </w:rPr>
          <w:t>статьей 26</w:t>
        </w:r>
      </w:hyperlink>
      <w:r>
        <w:t xml:space="preserve"> Федерального закона от 7 июля 2003 г. N 126-ФЗ (Собрание законодательства Российской Федерации, 2003, N 28, ст. 2895; N 52 (часть I), ст. 5038; 2004, N 35, ст. 3607; N 45, ст. 4377; 2005, N 19, ст. 1752; 2006, N 6, ст. 636; N 10, ст. 1069; N 31 (часть I), ст. 3431, ст. 3452; 2007, N 1, ст. 8; N 7, ст. 835) приказываю:</w:t>
      </w:r>
    </w:p>
    <w:p w:rsidR="0030066A" w:rsidRDefault="0030066A">
      <w:pPr>
        <w:pStyle w:val="ConsPlusNormal"/>
        <w:ind w:firstLine="540"/>
        <w:jc w:val="both"/>
      </w:pPr>
      <w:r>
        <w:t xml:space="preserve">1. Утвердить прилагаемые </w:t>
      </w:r>
      <w:hyperlink w:anchor="P32" w:history="1">
        <w:r>
          <w:rPr>
            <w:color w:val="0000FF"/>
          </w:rPr>
          <w:t>требования</w:t>
        </w:r>
      </w:hyperlink>
      <w:r>
        <w:t xml:space="preserve"> по защите сетей связи от несанкционированного доступа к ним и передаваемой посредством их информации.</w:t>
      </w:r>
    </w:p>
    <w:p w:rsidR="0030066A" w:rsidRDefault="0030066A">
      <w:pPr>
        <w:pStyle w:val="ConsPlusNormal"/>
        <w:ind w:firstLine="540"/>
        <w:jc w:val="both"/>
      </w:pPr>
      <w:r>
        <w:t>2. Направить настоящий Приказ на государственную регистрацию в Министерство юстиции Российской Федерации.</w:t>
      </w:r>
    </w:p>
    <w:p w:rsidR="0030066A" w:rsidRDefault="0030066A">
      <w:pPr>
        <w:pStyle w:val="ConsPlusNormal"/>
        <w:ind w:firstLine="540"/>
        <w:jc w:val="both"/>
      </w:pPr>
      <w:r>
        <w:t>3. Контроль за исполнением настоящего Приказа возложить на заместителя Министра информационных технологий и связи Российской Федерации Б.Д. Антонюка.</w:t>
      </w:r>
    </w:p>
    <w:p w:rsidR="0030066A" w:rsidRDefault="0030066A">
      <w:pPr>
        <w:pStyle w:val="ConsPlusNormal"/>
        <w:ind w:firstLine="540"/>
        <w:jc w:val="both"/>
      </w:pPr>
    </w:p>
    <w:p w:rsidR="0030066A" w:rsidRDefault="0030066A">
      <w:pPr>
        <w:pStyle w:val="ConsPlusNormal"/>
        <w:jc w:val="right"/>
      </w:pPr>
      <w:r>
        <w:t>Министр</w:t>
      </w:r>
    </w:p>
    <w:p w:rsidR="0030066A" w:rsidRDefault="0030066A">
      <w:pPr>
        <w:pStyle w:val="ConsPlusNormal"/>
        <w:jc w:val="right"/>
      </w:pPr>
      <w:r>
        <w:t>Л.Д.РЕЙМАН</w:t>
      </w:r>
    </w:p>
    <w:p w:rsidR="0030066A" w:rsidRDefault="0030066A">
      <w:pPr>
        <w:pStyle w:val="ConsPlusNormal"/>
        <w:ind w:firstLine="540"/>
        <w:jc w:val="both"/>
      </w:pPr>
    </w:p>
    <w:p w:rsidR="0030066A" w:rsidRDefault="0030066A">
      <w:pPr>
        <w:pStyle w:val="ConsPlusNormal"/>
        <w:ind w:firstLine="540"/>
        <w:jc w:val="both"/>
      </w:pPr>
    </w:p>
    <w:p w:rsidR="0030066A" w:rsidRDefault="0030066A">
      <w:pPr>
        <w:pStyle w:val="ConsPlusNormal"/>
        <w:ind w:firstLine="540"/>
        <w:jc w:val="both"/>
      </w:pPr>
    </w:p>
    <w:p w:rsidR="0030066A" w:rsidRDefault="0030066A">
      <w:pPr>
        <w:pStyle w:val="ConsPlusNormal"/>
        <w:ind w:firstLine="540"/>
        <w:jc w:val="both"/>
      </w:pPr>
    </w:p>
    <w:p w:rsidR="0030066A" w:rsidRDefault="0030066A">
      <w:pPr>
        <w:pStyle w:val="ConsPlusNormal"/>
        <w:ind w:firstLine="540"/>
        <w:jc w:val="both"/>
      </w:pPr>
    </w:p>
    <w:p w:rsidR="0030066A" w:rsidRDefault="0030066A">
      <w:pPr>
        <w:pStyle w:val="ConsPlusNormal"/>
        <w:jc w:val="right"/>
        <w:outlineLvl w:val="0"/>
      </w:pPr>
      <w:r>
        <w:t>Утверждены</w:t>
      </w:r>
    </w:p>
    <w:p w:rsidR="0030066A" w:rsidRDefault="0030066A">
      <w:pPr>
        <w:pStyle w:val="ConsPlusNormal"/>
        <w:jc w:val="right"/>
      </w:pPr>
      <w:r>
        <w:t>Приказом Министерства</w:t>
      </w:r>
    </w:p>
    <w:p w:rsidR="0030066A" w:rsidRDefault="0030066A">
      <w:pPr>
        <w:pStyle w:val="ConsPlusNormal"/>
        <w:jc w:val="right"/>
      </w:pPr>
      <w:r>
        <w:t>информационных технологий и</w:t>
      </w:r>
    </w:p>
    <w:p w:rsidR="0030066A" w:rsidRDefault="0030066A">
      <w:pPr>
        <w:pStyle w:val="ConsPlusNormal"/>
        <w:jc w:val="right"/>
      </w:pPr>
      <w:r>
        <w:t>связи Российской Федерации</w:t>
      </w:r>
    </w:p>
    <w:p w:rsidR="0030066A" w:rsidRDefault="0030066A">
      <w:pPr>
        <w:pStyle w:val="ConsPlusNormal"/>
        <w:jc w:val="right"/>
      </w:pPr>
      <w:r>
        <w:t>от 09.01.2008 N 1</w:t>
      </w:r>
    </w:p>
    <w:p w:rsidR="0030066A" w:rsidRDefault="0030066A">
      <w:pPr>
        <w:pStyle w:val="ConsPlusNormal"/>
        <w:ind w:firstLine="540"/>
        <w:jc w:val="both"/>
      </w:pPr>
    </w:p>
    <w:p w:rsidR="0030066A" w:rsidRDefault="0030066A">
      <w:pPr>
        <w:pStyle w:val="ConsPlusTitle"/>
        <w:jc w:val="center"/>
      </w:pPr>
      <w:bookmarkStart w:id="0" w:name="P32"/>
      <w:bookmarkEnd w:id="0"/>
      <w:r>
        <w:t>ТРЕБОВАНИЯ</w:t>
      </w:r>
    </w:p>
    <w:p w:rsidR="0030066A" w:rsidRDefault="0030066A">
      <w:pPr>
        <w:pStyle w:val="ConsPlusTitle"/>
        <w:jc w:val="center"/>
      </w:pPr>
      <w:r>
        <w:t>ПО ЗАЩИТЕ СЕТЕЙ СВЯЗИ ОТ НЕСАНКЦИОНИРОВАННОГО ДОСТУПА</w:t>
      </w:r>
    </w:p>
    <w:p w:rsidR="0030066A" w:rsidRDefault="0030066A">
      <w:pPr>
        <w:pStyle w:val="ConsPlusTitle"/>
        <w:jc w:val="center"/>
      </w:pPr>
      <w:r>
        <w:t>К НИМ И ПЕРЕДАВАЕМОЙ ПОСРЕДСТВОМ ИХ ИНФОРМАЦИИ</w:t>
      </w:r>
    </w:p>
    <w:p w:rsidR="0030066A" w:rsidRDefault="0030066A">
      <w:pPr>
        <w:pStyle w:val="ConsPlusNormal"/>
        <w:jc w:val="center"/>
      </w:pPr>
    </w:p>
    <w:p w:rsidR="0030066A" w:rsidRDefault="0030066A">
      <w:pPr>
        <w:pStyle w:val="ConsPlusNormal"/>
        <w:ind w:firstLine="540"/>
        <w:jc w:val="both"/>
        <w:outlineLvl w:val="1"/>
      </w:pPr>
      <w:r>
        <w:t>I. Общие положения</w:t>
      </w:r>
    </w:p>
    <w:p w:rsidR="0030066A" w:rsidRDefault="0030066A">
      <w:pPr>
        <w:pStyle w:val="ConsPlusNormal"/>
        <w:ind w:firstLine="540"/>
        <w:jc w:val="both"/>
      </w:pPr>
    </w:p>
    <w:p w:rsidR="0030066A" w:rsidRDefault="0030066A">
      <w:pPr>
        <w:pStyle w:val="ConsPlusNormal"/>
        <w:ind w:firstLine="540"/>
        <w:jc w:val="both"/>
      </w:pPr>
      <w:r>
        <w:t>1. Настоящие требования распространяются на сети электросвязи, входящие в состав сети связи общего пользования, за исключением сетей связи для распространения программ телевизионного вещания и радиовещания.</w:t>
      </w:r>
    </w:p>
    <w:p w:rsidR="0030066A" w:rsidRDefault="0030066A">
      <w:pPr>
        <w:pStyle w:val="ConsPlusNormal"/>
        <w:ind w:firstLine="540"/>
        <w:jc w:val="both"/>
      </w:pPr>
      <w:r>
        <w:t>2. В целях защиты от несанкционированного доступа к сетям связи и передаваемой посредством их информации операторы связи принимают организационные и технические меры, направленные на предотвращение доступа к линиям связи, сооружениям связи, средствам связи, находящимся как внутри, так и вне сооружений связи, и передаваемой по сетям связи информации, осуществляемого с нарушением установленного этими операторами связи порядка доступа.</w:t>
      </w:r>
    </w:p>
    <w:p w:rsidR="0030066A" w:rsidRDefault="0030066A">
      <w:pPr>
        <w:pStyle w:val="ConsPlusNormal"/>
        <w:ind w:firstLine="540"/>
        <w:jc w:val="both"/>
      </w:pPr>
      <w:r>
        <w:lastRenderedPageBreak/>
        <w:t>3. Порядок доступа утверждается операторами связи и включает:</w:t>
      </w:r>
    </w:p>
    <w:p w:rsidR="0030066A" w:rsidRDefault="0030066A">
      <w:pPr>
        <w:pStyle w:val="ConsPlusNormal"/>
        <w:ind w:firstLine="540"/>
        <w:jc w:val="both"/>
      </w:pPr>
      <w:r>
        <w:t>а) описание организации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p w:rsidR="0030066A" w:rsidRDefault="0030066A">
      <w:pPr>
        <w:pStyle w:val="ConsPlusNormal"/>
        <w:ind w:firstLine="540"/>
        <w:jc w:val="both"/>
      </w:pPr>
      <w:r>
        <w:t>б) описание процедур применения на охраняемой территории технических средств защиты, обнаружения и сигнализации;</w:t>
      </w:r>
    </w:p>
    <w:p w:rsidR="0030066A" w:rsidRDefault="0030066A">
      <w:pPr>
        <w:pStyle w:val="ConsPlusNormal"/>
        <w:ind w:firstLine="540"/>
        <w:jc w:val="both"/>
      </w:pPr>
      <w:r>
        <w:t>в) установление перечня и образцов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p w:rsidR="0030066A" w:rsidRDefault="0030066A">
      <w:pPr>
        <w:pStyle w:val="ConsPlusNormal"/>
        <w:ind w:firstLine="540"/>
        <w:jc w:val="both"/>
      </w:pPr>
      <w:r>
        <w:t>г) организационные процедуры оформления допуска к проведению работ со средствами связи и линиями связи, а также работ, связанных с технологической возможностью доступа к информации, передаваемой посредством сети связи, и установление списка лиц, имеющих право на проведение таких работ;</w:t>
      </w:r>
    </w:p>
    <w:p w:rsidR="0030066A" w:rsidRDefault="0030066A">
      <w:pPr>
        <w:pStyle w:val="ConsPlusNormal"/>
        <w:ind w:firstLine="540"/>
        <w:jc w:val="both"/>
      </w:pPr>
      <w:r>
        <w:t>д) описание процедур регистрации событий, связанных с осуществлением доступа к средствам связи, линиям связи и сооружениям связи.</w:t>
      </w:r>
    </w:p>
    <w:p w:rsidR="0030066A" w:rsidRDefault="0030066A">
      <w:pPr>
        <w:pStyle w:val="ConsPlusNormal"/>
        <w:ind w:firstLine="540"/>
        <w:jc w:val="both"/>
      </w:pPr>
      <w:r>
        <w:t xml:space="preserve">4. Узлы связи сетей связи подразделяются на узлы связи I, II, III категории защищенности. Категорирование узлов связи по защищенности приведено в </w:t>
      </w:r>
      <w:hyperlink w:anchor="P104" w:history="1">
        <w:r>
          <w:rPr>
            <w:color w:val="0000FF"/>
          </w:rPr>
          <w:t>приложении</w:t>
        </w:r>
      </w:hyperlink>
      <w:r>
        <w:t>.</w:t>
      </w:r>
    </w:p>
    <w:p w:rsidR="0030066A" w:rsidRDefault="0030066A">
      <w:pPr>
        <w:pStyle w:val="ConsPlusNormal"/>
        <w:ind w:firstLine="540"/>
        <w:jc w:val="both"/>
      </w:pPr>
    </w:p>
    <w:p w:rsidR="0030066A" w:rsidRDefault="0030066A">
      <w:pPr>
        <w:pStyle w:val="ConsPlusNormal"/>
        <w:ind w:firstLine="540"/>
        <w:jc w:val="both"/>
        <w:outlineLvl w:val="1"/>
      </w:pPr>
      <w:r>
        <w:t>II. Требования по защите от несанкционированного доступа к средствам связи и линиям связи сетей связи и передаваемой посредством их информации</w:t>
      </w:r>
    </w:p>
    <w:p w:rsidR="0030066A" w:rsidRDefault="0030066A">
      <w:pPr>
        <w:pStyle w:val="ConsPlusNormal"/>
        <w:ind w:firstLine="540"/>
        <w:jc w:val="both"/>
      </w:pPr>
    </w:p>
    <w:p w:rsidR="0030066A" w:rsidRDefault="0030066A">
      <w:pPr>
        <w:pStyle w:val="ConsPlusNormal"/>
        <w:ind w:firstLine="540"/>
        <w:jc w:val="both"/>
      </w:pPr>
      <w:r>
        <w:t>5. Для защиты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от доступа со стороны физических лиц, не имеющих на это права, операторы связи обеспечивают:</w:t>
      </w:r>
    </w:p>
    <w:p w:rsidR="0030066A" w:rsidRDefault="0030066A">
      <w:pPr>
        <w:pStyle w:val="ConsPlusNormal"/>
        <w:ind w:firstLine="540"/>
        <w:jc w:val="both"/>
      </w:pPr>
      <w:r>
        <w:t>а) оснащение сооружений связи, в которых размещаются узлы связи, техническими средствами защиты, включая охранную сигнализацию;</w:t>
      </w:r>
    </w:p>
    <w:p w:rsidR="0030066A" w:rsidRDefault="0030066A">
      <w:pPr>
        <w:pStyle w:val="ConsPlusNormal"/>
        <w:ind w:firstLine="540"/>
        <w:jc w:val="both"/>
      </w:pPr>
      <w:r>
        <w:t>б) 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p w:rsidR="0030066A" w:rsidRDefault="0030066A">
      <w:pPr>
        <w:pStyle w:val="ConsPlusNormal"/>
        <w:ind w:firstLine="540"/>
        <w:jc w:val="both"/>
      </w:pPr>
      <w:r>
        <w:t>в) организацию охраны узлов связи для узлов связи I и II категории защищенности;</w:t>
      </w:r>
    </w:p>
    <w:p w:rsidR="0030066A" w:rsidRDefault="0030066A">
      <w:pPr>
        <w:pStyle w:val="ConsPlusNormal"/>
        <w:ind w:firstLine="540"/>
        <w:jc w:val="both"/>
      </w:pPr>
      <w:r>
        <w:t>г) организацию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p w:rsidR="0030066A" w:rsidRDefault="0030066A">
      <w:pPr>
        <w:pStyle w:val="ConsPlusNormal"/>
        <w:ind w:firstLine="540"/>
        <w:jc w:val="both"/>
      </w:pPr>
      <w:r>
        <w:t>д) оснащение сооружений связи средствами контроля доступа для узлов связи I категории защищенности;</w:t>
      </w:r>
    </w:p>
    <w:p w:rsidR="0030066A" w:rsidRDefault="0030066A">
      <w:pPr>
        <w:pStyle w:val="ConsPlusNormal"/>
        <w:ind w:firstLine="540"/>
        <w:jc w:val="both"/>
      </w:pPr>
      <w:r>
        <w:t>е) наличие запирающих устройств для помещений, в которых размещены узлы связи III категории защищенности.</w:t>
      </w:r>
    </w:p>
    <w:p w:rsidR="0030066A" w:rsidRDefault="0030066A">
      <w:pPr>
        <w:pStyle w:val="ConsPlusNormal"/>
        <w:ind w:firstLine="540"/>
        <w:jc w:val="both"/>
      </w:pPr>
      <w:r>
        <w:t>7. Для защиты от несанкционированного доступа к программным средствам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sidR="0030066A" w:rsidRDefault="0030066A">
      <w:pPr>
        <w:pStyle w:val="ConsPlusNormal"/>
        <w:ind w:firstLine="540"/>
        <w:jc w:val="both"/>
      </w:pPr>
      <w:r>
        <w:t>а) 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p w:rsidR="0030066A" w:rsidRDefault="0030066A">
      <w:pPr>
        <w:pStyle w:val="ConsPlusNormal"/>
        <w:ind w:firstLine="540"/>
        <w:jc w:val="both"/>
      </w:pPr>
      <w:r>
        <w:t>б) контроль подключения к узлам связи технических и программных средств, используемых в процессе эксплуатации узлов связи;</w:t>
      </w:r>
    </w:p>
    <w:p w:rsidR="0030066A" w:rsidRDefault="0030066A">
      <w:pPr>
        <w:pStyle w:val="ConsPlusNormal"/>
        <w:ind w:firstLine="540"/>
        <w:jc w:val="both"/>
      </w:pPr>
      <w:r>
        <w:t>в) регистрацию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p w:rsidR="0030066A" w:rsidRDefault="0030066A">
      <w:pPr>
        <w:pStyle w:val="ConsPlusNormal"/>
        <w:ind w:firstLine="540"/>
        <w:jc w:val="both"/>
      </w:pPr>
      <w:r>
        <w:t>г) 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p w:rsidR="0030066A" w:rsidRDefault="0030066A">
      <w:pPr>
        <w:pStyle w:val="ConsPlusNormal"/>
        <w:ind w:firstLine="540"/>
        <w:jc w:val="both"/>
      </w:pPr>
      <w:r>
        <w:t>д) регистрацию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p w:rsidR="0030066A" w:rsidRDefault="0030066A">
      <w:pPr>
        <w:pStyle w:val="ConsPlusNormal"/>
        <w:ind w:firstLine="540"/>
        <w:jc w:val="both"/>
      </w:pPr>
      <w:r>
        <w:lastRenderedPageBreak/>
        <w:t>е) 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p w:rsidR="0030066A" w:rsidRDefault="0030066A">
      <w:pPr>
        <w:pStyle w:val="ConsPlusNormal"/>
        <w:ind w:firstLine="540"/>
        <w:jc w:val="both"/>
      </w:pPr>
      <w:r>
        <w:t>ж) установление процедур аутентификации обслуживающего персонала при удаленном доступе к узлам связи для узлов связи I категории защищенности.</w:t>
      </w:r>
    </w:p>
    <w:p w:rsidR="0030066A" w:rsidRDefault="0030066A">
      <w:pPr>
        <w:pStyle w:val="ConsPlusNormal"/>
        <w:ind w:firstLine="540"/>
        <w:jc w:val="both"/>
      </w:pPr>
      <w:r>
        <w:t>8. Для защиты от несанкционированного доступа к средствам связи, не входящим в состав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sidR="0030066A" w:rsidRDefault="0030066A">
      <w:pPr>
        <w:pStyle w:val="ConsPlusNormal"/>
        <w:ind w:firstLine="540"/>
        <w:jc w:val="both"/>
      </w:pPr>
      <w:r>
        <w:t>а) оснащение контейнеров, в которых размещены средства связи, находящиеся вне сооружений связи, запирающими устройствами, тревожной и охранной сигнализацией;</w:t>
      </w:r>
    </w:p>
    <w:p w:rsidR="0030066A" w:rsidRDefault="0030066A">
      <w:pPr>
        <w:pStyle w:val="ConsPlusNormal"/>
        <w:ind w:firstLine="540"/>
        <w:jc w:val="both"/>
      </w:pPr>
      <w:r>
        <w:t>б) установку распределительных устройств в местах, исключающих или существенно затрудняющих несанкционированный доступ к ним;</w:t>
      </w:r>
    </w:p>
    <w:p w:rsidR="0030066A" w:rsidRDefault="0030066A">
      <w:pPr>
        <w:pStyle w:val="ConsPlusNormal"/>
        <w:ind w:firstLine="540"/>
        <w:jc w:val="both"/>
      </w:pPr>
      <w:r>
        <w:t>в) оборудование распределительных кабельных шкафов запирающими устройствами и датчиками охранной сигнализации о несанкционированном доступе;</w:t>
      </w:r>
    </w:p>
    <w:p w:rsidR="0030066A" w:rsidRDefault="0030066A">
      <w:pPr>
        <w:pStyle w:val="ConsPlusNormal"/>
        <w:ind w:firstLine="540"/>
        <w:jc w:val="both"/>
      </w:pPr>
      <w:r>
        <w:t>г) 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 и ведение журнала осмотра.</w:t>
      </w:r>
    </w:p>
    <w:p w:rsidR="0030066A" w:rsidRDefault="0030066A">
      <w:pPr>
        <w:pStyle w:val="ConsPlusNormal"/>
        <w:ind w:firstLine="540"/>
        <w:jc w:val="both"/>
      </w:pPr>
      <w:r>
        <w:t>9. Для защиты от несанкционированного доступа к линиям связи, соединяющим узлы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sidR="0030066A" w:rsidRDefault="0030066A">
      <w:pPr>
        <w:pStyle w:val="ConsPlusNormal"/>
        <w:ind w:firstLine="540"/>
        <w:jc w:val="both"/>
      </w:pPr>
      <w:r>
        <w:t xml:space="preserve">а) установление охранных зон для линий связи между узлами связи в соответствии с </w:t>
      </w:r>
      <w:hyperlink r:id="rId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РФ от 9 июня 1995 г. N 578 (Собрание законодательства Российской Федерации, 1995, N 25, ст. 2396);</w:t>
      </w:r>
    </w:p>
    <w:p w:rsidR="0030066A" w:rsidRDefault="0030066A">
      <w:pPr>
        <w:pStyle w:val="ConsPlusNormal"/>
        <w:ind w:firstLine="540"/>
        <w:jc w:val="both"/>
      </w:pPr>
      <w:r>
        <w:t>б) осмотр линий связи, проводимый в соответствии с порядком, установленным оператором связи, и ведение журнала осмотра;</w:t>
      </w:r>
    </w:p>
    <w:p w:rsidR="0030066A" w:rsidRDefault="0030066A">
      <w:pPr>
        <w:pStyle w:val="ConsPlusNormal"/>
        <w:ind w:firstLine="540"/>
        <w:jc w:val="both"/>
      </w:pPr>
      <w:r>
        <w:t>в) применение мер организационного и (или) технического характера по обнаружению несанкционированного подключения к проводным линиям связи;</w:t>
      </w:r>
    </w:p>
    <w:p w:rsidR="0030066A" w:rsidRDefault="0030066A">
      <w:pPr>
        <w:pStyle w:val="ConsPlusNormal"/>
        <w:ind w:firstLine="540"/>
        <w:jc w:val="both"/>
      </w:pPr>
      <w:r>
        <w:t>г) кодирование сигналов в радиоканалах при применении радиоэлектронных средств;</w:t>
      </w:r>
    </w:p>
    <w:p w:rsidR="0030066A" w:rsidRDefault="0030066A">
      <w:pPr>
        <w:pStyle w:val="ConsPlusNormal"/>
        <w:ind w:firstLine="540"/>
        <w:jc w:val="both"/>
      </w:pPr>
      <w:r>
        <w:t>д) размещение линий связи, исключающее возможность доступа к ним без использования каких-либо инструментов или механизмов.</w:t>
      </w:r>
    </w:p>
    <w:p w:rsidR="0030066A" w:rsidRDefault="0030066A">
      <w:pPr>
        <w:pStyle w:val="ConsPlusNormal"/>
        <w:ind w:firstLine="540"/>
        <w:jc w:val="both"/>
      </w:pPr>
      <w:r>
        <w:t>10. Для защиты от несанкционированного доступа к абонентским линиям связи сетей фиксированной телефонной связи, сетей передачи данных, сетей телеграфной связи операторы связи обеспечивают:</w:t>
      </w:r>
    </w:p>
    <w:p w:rsidR="0030066A" w:rsidRDefault="0030066A">
      <w:pPr>
        <w:pStyle w:val="ConsPlusNormal"/>
        <w:ind w:firstLine="540"/>
        <w:jc w:val="both"/>
      </w:pPr>
      <w:r>
        <w:t>а) 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p w:rsidR="0030066A" w:rsidRDefault="0030066A">
      <w:pPr>
        <w:pStyle w:val="ConsPlusNormal"/>
        <w:ind w:firstLine="540"/>
        <w:jc w:val="both"/>
      </w:pPr>
      <w:r>
        <w:t>б) осмотр линий связи, проводимый в соответствии с порядком, установленным оператором связи.</w:t>
      </w:r>
    </w:p>
    <w:p w:rsidR="0030066A" w:rsidRDefault="0030066A">
      <w:pPr>
        <w:pStyle w:val="ConsPlusNormal"/>
        <w:ind w:firstLine="540"/>
        <w:jc w:val="both"/>
      </w:pPr>
      <w:r>
        <w:t>11. Защита от несанкционированного доступа к абонентским линиям связи при применении радиоэлектронных средств обеспечивается кодированием информации в радиоканале.</w:t>
      </w:r>
    </w:p>
    <w:p w:rsidR="0030066A" w:rsidRDefault="0030066A">
      <w:pPr>
        <w:pStyle w:val="ConsPlusNormal"/>
        <w:ind w:firstLine="540"/>
        <w:jc w:val="both"/>
      </w:pPr>
    </w:p>
    <w:p w:rsidR="0030066A" w:rsidRDefault="0030066A">
      <w:pPr>
        <w:pStyle w:val="ConsPlusNormal"/>
        <w:ind w:firstLine="540"/>
        <w:jc w:val="both"/>
        <w:outlineLvl w:val="1"/>
      </w:pPr>
      <w:r>
        <w:t>III. Требования к контролю и регистрации событий, связанных с несанкционированным доступом к сетям связи и передаваемой посредством их информации</w:t>
      </w:r>
    </w:p>
    <w:p w:rsidR="0030066A" w:rsidRDefault="0030066A">
      <w:pPr>
        <w:pStyle w:val="ConsPlusNormal"/>
        <w:ind w:firstLine="540"/>
        <w:jc w:val="both"/>
      </w:pPr>
    </w:p>
    <w:p w:rsidR="0030066A" w:rsidRDefault="0030066A">
      <w:pPr>
        <w:pStyle w:val="ConsPlusNormal"/>
        <w:ind w:firstLine="540"/>
        <w:jc w:val="both"/>
      </w:pPr>
      <w:r>
        <w:t>12. События, связанные с несанкционированным доступом к сетям связи и передаваемой посредством их информации (далее - события), регистрируются документально и заверяются подписью должностного лица, зарегистрировавшего это событие.</w:t>
      </w:r>
    </w:p>
    <w:p w:rsidR="0030066A" w:rsidRDefault="0030066A">
      <w:pPr>
        <w:pStyle w:val="ConsPlusNormal"/>
        <w:ind w:firstLine="540"/>
        <w:jc w:val="both"/>
      </w:pPr>
      <w:r>
        <w:t>Регистрационная запись события содержит:</w:t>
      </w:r>
    </w:p>
    <w:p w:rsidR="0030066A" w:rsidRDefault="0030066A">
      <w:pPr>
        <w:pStyle w:val="ConsPlusNormal"/>
        <w:ind w:firstLine="540"/>
        <w:jc w:val="both"/>
      </w:pPr>
      <w:r>
        <w:t xml:space="preserve">а) указание на средство связи или линию связи к которым был осуществлен </w:t>
      </w:r>
      <w:r>
        <w:lastRenderedPageBreak/>
        <w:t>несанкционированный доступ и их условное обозначение;</w:t>
      </w:r>
    </w:p>
    <w:p w:rsidR="0030066A" w:rsidRDefault="0030066A">
      <w:pPr>
        <w:pStyle w:val="ConsPlusNormal"/>
        <w:ind w:firstLine="540"/>
        <w:jc w:val="both"/>
      </w:pPr>
      <w:r>
        <w:t>б) описание события;</w:t>
      </w:r>
    </w:p>
    <w:p w:rsidR="0030066A" w:rsidRDefault="0030066A">
      <w:pPr>
        <w:pStyle w:val="ConsPlusNormal"/>
        <w:ind w:firstLine="540"/>
        <w:jc w:val="both"/>
      </w:pPr>
      <w:r>
        <w:t>в) описание последствия события;</w:t>
      </w:r>
    </w:p>
    <w:p w:rsidR="0030066A" w:rsidRDefault="0030066A">
      <w:pPr>
        <w:pStyle w:val="ConsPlusNormal"/>
        <w:ind w:firstLine="540"/>
        <w:jc w:val="both"/>
      </w:pPr>
      <w:r>
        <w:t>г) дату и время события и/или регистрации события;</w:t>
      </w:r>
    </w:p>
    <w:p w:rsidR="0030066A" w:rsidRDefault="0030066A">
      <w:pPr>
        <w:pStyle w:val="ConsPlusNormal"/>
        <w:ind w:firstLine="540"/>
        <w:jc w:val="both"/>
      </w:pPr>
      <w:r>
        <w:t>д) указание на лицо, выявившее событие.</w:t>
      </w:r>
    </w:p>
    <w:p w:rsidR="0030066A" w:rsidRDefault="0030066A">
      <w:pPr>
        <w:pStyle w:val="ConsPlusNormal"/>
        <w:ind w:firstLine="540"/>
        <w:jc w:val="both"/>
      </w:pPr>
      <w:r>
        <w:t>13. В целях предотвращения возникновения событий, связанных с несанкционированным доступом к сети связи и к передаваемой по ней информации, в процессе эксплуатации сети электросвязи операторами связи проводится анализ выявленных событий, причин и условий их возникновения. По результатам такого анализа составляются заключение и план-график работ, направленных на предотвращение возникновения в дальнейшем событий, связанных с несанкционированным доступом к сети связи.</w:t>
      </w:r>
    </w:p>
    <w:p w:rsidR="0030066A" w:rsidRDefault="0030066A">
      <w:pPr>
        <w:pStyle w:val="ConsPlusNormal"/>
        <w:ind w:firstLine="540"/>
        <w:jc w:val="both"/>
      </w:pPr>
      <w:r>
        <w:t>Результаты работ, проведенных в соответствии с планом-графиком, отражаются в эксплуатационных документах.</w:t>
      </w:r>
    </w:p>
    <w:p w:rsidR="0030066A" w:rsidRDefault="0030066A">
      <w:pPr>
        <w:pStyle w:val="ConsPlusNormal"/>
        <w:ind w:firstLine="540"/>
        <w:jc w:val="both"/>
      </w:pPr>
    </w:p>
    <w:p w:rsidR="0030066A" w:rsidRDefault="0030066A">
      <w:pPr>
        <w:pStyle w:val="ConsPlusNormal"/>
        <w:ind w:firstLine="540"/>
        <w:jc w:val="both"/>
      </w:pPr>
    </w:p>
    <w:p w:rsidR="0030066A" w:rsidRDefault="0030066A">
      <w:pPr>
        <w:pStyle w:val="ConsPlusNormal"/>
        <w:ind w:firstLine="540"/>
        <w:jc w:val="both"/>
      </w:pPr>
    </w:p>
    <w:p w:rsidR="0030066A" w:rsidRDefault="0030066A">
      <w:pPr>
        <w:pStyle w:val="ConsPlusNormal"/>
        <w:ind w:firstLine="540"/>
        <w:jc w:val="both"/>
      </w:pPr>
    </w:p>
    <w:p w:rsidR="0030066A" w:rsidRDefault="0030066A">
      <w:pPr>
        <w:pStyle w:val="ConsPlusNormal"/>
        <w:ind w:firstLine="540"/>
        <w:jc w:val="both"/>
      </w:pPr>
    </w:p>
    <w:p w:rsidR="0030066A" w:rsidRDefault="0030066A">
      <w:pPr>
        <w:pStyle w:val="ConsPlusNormal"/>
        <w:jc w:val="right"/>
        <w:outlineLvl w:val="1"/>
      </w:pPr>
      <w:r>
        <w:t>Приложение</w:t>
      </w:r>
    </w:p>
    <w:p w:rsidR="0030066A" w:rsidRDefault="0030066A">
      <w:pPr>
        <w:pStyle w:val="ConsPlusNormal"/>
        <w:jc w:val="right"/>
      </w:pPr>
      <w:r>
        <w:t>к Требованиям</w:t>
      </w:r>
    </w:p>
    <w:p w:rsidR="0030066A" w:rsidRDefault="0030066A">
      <w:pPr>
        <w:pStyle w:val="ConsPlusNormal"/>
        <w:jc w:val="right"/>
      </w:pPr>
      <w:r>
        <w:t>по защите сетей связи</w:t>
      </w:r>
    </w:p>
    <w:p w:rsidR="0030066A" w:rsidRDefault="0030066A">
      <w:pPr>
        <w:pStyle w:val="ConsPlusNormal"/>
        <w:jc w:val="right"/>
      </w:pPr>
      <w:r>
        <w:t>от несанкционированного доступа</w:t>
      </w:r>
    </w:p>
    <w:p w:rsidR="0030066A" w:rsidRDefault="0030066A">
      <w:pPr>
        <w:pStyle w:val="ConsPlusNormal"/>
        <w:jc w:val="right"/>
      </w:pPr>
      <w:r>
        <w:t>к ним и передаваемой</w:t>
      </w:r>
    </w:p>
    <w:p w:rsidR="0030066A" w:rsidRDefault="0030066A">
      <w:pPr>
        <w:pStyle w:val="ConsPlusNormal"/>
        <w:jc w:val="right"/>
      </w:pPr>
      <w:r>
        <w:t>посредством их информации</w:t>
      </w:r>
    </w:p>
    <w:p w:rsidR="0030066A" w:rsidRDefault="0030066A">
      <w:pPr>
        <w:pStyle w:val="ConsPlusNormal"/>
        <w:ind w:firstLine="540"/>
        <w:jc w:val="both"/>
      </w:pPr>
    </w:p>
    <w:p w:rsidR="0030066A" w:rsidRDefault="0030066A">
      <w:pPr>
        <w:pStyle w:val="ConsPlusNormal"/>
        <w:jc w:val="center"/>
      </w:pPr>
      <w:bookmarkStart w:id="1" w:name="P104"/>
      <w:bookmarkEnd w:id="1"/>
      <w:r>
        <w:t>КАТЕГОРИРОВАНИЕ УЗЛОВ СВЯЗИ ПО ЗАЩИЩЕННОСТИ</w:t>
      </w:r>
    </w:p>
    <w:p w:rsidR="0030066A" w:rsidRDefault="0030066A">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944"/>
        <w:gridCol w:w="2592"/>
        <w:gridCol w:w="2376"/>
        <w:gridCol w:w="2052"/>
      </w:tblGrid>
      <w:tr w:rsidR="0030066A">
        <w:trPr>
          <w:trHeight w:val="240"/>
        </w:trPr>
        <w:tc>
          <w:tcPr>
            <w:tcW w:w="1944" w:type="dxa"/>
          </w:tcPr>
          <w:p w:rsidR="0030066A" w:rsidRDefault="0030066A">
            <w:pPr>
              <w:pStyle w:val="ConsPlusNonformat"/>
              <w:jc w:val="both"/>
            </w:pPr>
            <w:r>
              <w:rPr>
                <w:sz w:val="18"/>
              </w:rPr>
              <w:t xml:space="preserve">       Категории</w:t>
            </w:r>
          </w:p>
        </w:tc>
        <w:tc>
          <w:tcPr>
            <w:tcW w:w="2592" w:type="dxa"/>
            <w:vMerge w:val="restart"/>
          </w:tcPr>
          <w:p w:rsidR="0030066A" w:rsidRDefault="0030066A">
            <w:pPr>
              <w:pStyle w:val="ConsPlusNonformat"/>
              <w:jc w:val="both"/>
            </w:pPr>
            <w:r>
              <w:rPr>
                <w:sz w:val="18"/>
              </w:rPr>
              <w:t xml:space="preserve">          I           </w:t>
            </w:r>
          </w:p>
        </w:tc>
        <w:tc>
          <w:tcPr>
            <w:tcW w:w="2376" w:type="dxa"/>
            <w:vMerge w:val="restart"/>
          </w:tcPr>
          <w:p w:rsidR="0030066A" w:rsidRDefault="0030066A">
            <w:pPr>
              <w:pStyle w:val="ConsPlusNonformat"/>
              <w:jc w:val="both"/>
            </w:pPr>
            <w:r>
              <w:rPr>
                <w:sz w:val="18"/>
              </w:rPr>
              <w:t xml:space="preserve">         II         </w:t>
            </w:r>
          </w:p>
        </w:tc>
        <w:tc>
          <w:tcPr>
            <w:tcW w:w="2052" w:type="dxa"/>
            <w:vMerge w:val="restart"/>
          </w:tcPr>
          <w:p w:rsidR="0030066A" w:rsidRDefault="0030066A">
            <w:pPr>
              <w:pStyle w:val="ConsPlusNonformat"/>
              <w:jc w:val="both"/>
            </w:pPr>
            <w:r>
              <w:rPr>
                <w:sz w:val="18"/>
              </w:rPr>
              <w:t xml:space="preserve">       III       </w:t>
            </w:r>
          </w:p>
        </w:tc>
      </w:tr>
      <w:tr w:rsidR="0030066A">
        <w:trPr>
          <w:trHeight w:val="240"/>
        </w:trPr>
        <w:tc>
          <w:tcPr>
            <w:tcW w:w="1944" w:type="dxa"/>
            <w:tcBorders>
              <w:top w:val="nil"/>
            </w:tcBorders>
          </w:tcPr>
          <w:p w:rsidR="0030066A" w:rsidRDefault="0030066A">
            <w:pPr>
              <w:pStyle w:val="ConsPlusNonformat"/>
              <w:jc w:val="both"/>
            </w:pPr>
            <w:r>
              <w:rPr>
                <w:sz w:val="18"/>
              </w:rPr>
              <w:t xml:space="preserve">Типы сетей      </w:t>
            </w:r>
          </w:p>
        </w:tc>
        <w:tc>
          <w:tcPr>
            <w:tcW w:w="2484" w:type="dxa"/>
            <w:vMerge/>
            <w:tcBorders>
              <w:top w:val="nil"/>
            </w:tcBorders>
          </w:tcPr>
          <w:p w:rsidR="0030066A" w:rsidRDefault="0030066A"/>
        </w:tc>
        <w:tc>
          <w:tcPr>
            <w:tcW w:w="2268" w:type="dxa"/>
            <w:vMerge/>
            <w:tcBorders>
              <w:top w:val="nil"/>
            </w:tcBorders>
          </w:tcPr>
          <w:p w:rsidR="0030066A" w:rsidRDefault="0030066A"/>
        </w:tc>
        <w:tc>
          <w:tcPr>
            <w:tcW w:w="1944" w:type="dxa"/>
            <w:vMerge/>
            <w:tcBorders>
              <w:top w:val="nil"/>
            </w:tcBorders>
          </w:tcPr>
          <w:p w:rsidR="0030066A" w:rsidRDefault="0030066A"/>
        </w:tc>
      </w:tr>
      <w:tr w:rsidR="0030066A">
        <w:trPr>
          <w:trHeight w:val="240"/>
        </w:trPr>
        <w:tc>
          <w:tcPr>
            <w:tcW w:w="1944" w:type="dxa"/>
            <w:tcBorders>
              <w:top w:val="nil"/>
            </w:tcBorders>
          </w:tcPr>
          <w:p w:rsidR="0030066A" w:rsidRDefault="0030066A">
            <w:pPr>
              <w:pStyle w:val="ConsPlusNonformat"/>
              <w:jc w:val="both"/>
            </w:pPr>
            <w:r>
              <w:rPr>
                <w:sz w:val="18"/>
              </w:rPr>
              <w:t xml:space="preserve">Сети            </w:t>
            </w:r>
          </w:p>
          <w:p w:rsidR="0030066A" w:rsidRDefault="0030066A">
            <w:pPr>
              <w:pStyle w:val="ConsPlusNonformat"/>
              <w:jc w:val="both"/>
            </w:pPr>
            <w:r>
              <w:rPr>
                <w:sz w:val="18"/>
              </w:rPr>
              <w:t xml:space="preserve">фиксированной   </w:t>
            </w:r>
          </w:p>
          <w:p w:rsidR="0030066A" w:rsidRDefault="0030066A">
            <w:pPr>
              <w:pStyle w:val="ConsPlusNonformat"/>
              <w:jc w:val="both"/>
            </w:pPr>
            <w:r>
              <w:rPr>
                <w:sz w:val="18"/>
              </w:rPr>
              <w:t>телефонной связи</w:t>
            </w:r>
          </w:p>
        </w:tc>
        <w:tc>
          <w:tcPr>
            <w:tcW w:w="2592" w:type="dxa"/>
            <w:tcBorders>
              <w:top w:val="nil"/>
            </w:tcBorders>
          </w:tcPr>
          <w:p w:rsidR="0030066A" w:rsidRDefault="0030066A">
            <w:pPr>
              <w:pStyle w:val="ConsPlusNonformat"/>
              <w:jc w:val="both"/>
            </w:pPr>
            <w:r>
              <w:rPr>
                <w:sz w:val="18"/>
              </w:rPr>
              <w:t xml:space="preserve">узлы связи сетей      </w:t>
            </w:r>
          </w:p>
          <w:p w:rsidR="0030066A" w:rsidRDefault="0030066A">
            <w:pPr>
              <w:pStyle w:val="ConsPlusNonformat"/>
              <w:jc w:val="both"/>
            </w:pPr>
            <w:r>
              <w:rPr>
                <w:sz w:val="18"/>
              </w:rPr>
              <w:t xml:space="preserve">междугородной и       </w:t>
            </w:r>
          </w:p>
          <w:p w:rsidR="0030066A" w:rsidRDefault="0030066A">
            <w:pPr>
              <w:pStyle w:val="ConsPlusNonformat"/>
              <w:jc w:val="both"/>
            </w:pPr>
            <w:r>
              <w:rPr>
                <w:sz w:val="18"/>
              </w:rPr>
              <w:t xml:space="preserve">международной         </w:t>
            </w:r>
          </w:p>
          <w:p w:rsidR="0030066A" w:rsidRDefault="0030066A">
            <w:pPr>
              <w:pStyle w:val="ConsPlusNonformat"/>
              <w:jc w:val="both"/>
            </w:pPr>
            <w:r>
              <w:rPr>
                <w:sz w:val="18"/>
              </w:rPr>
              <w:t xml:space="preserve">телефонной связи,     </w:t>
            </w:r>
          </w:p>
          <w:p w:rsidR="0030066A" w:rsidRDefault="0030066A">
            <w:pPr>
              <w:pStyle w:val="ConsPlusNonformat"/>
              <w:jc w:val="both"/>
            </w:pPr>
            <w:r>
              <w:rPr>
                <w:sz w:val="18"/>
              </w:rPr>
              <w:t xml:space="preserve">сетей зоновой         </w:t>
            </w:r>
          </w:p>
          <w:p w:rsidR="0030066A" w:rsidRDefault="0030066A">
            <w:pPr>
              <w:pStyle w:val="ConsPlusNonformat"/>
              <w:jc w:val="both"/>
            </w:pPr>
            <w:r>
              <w:rPr>
                <w:sz w:val="18"/>
              </w:rPr>
              <w:t xml:space="preserve">телефонной связи,     </w:t>
            </w:r>
          </w:p>
          <w:p w:rsidR="0030066A" w:rsidRDefault="0030066A">
            <w:pPr>
              <w:pStyle w:val="ConsPlusNonformat"/>
              <w:jc w:val="both"/>
            </w:pPr>
            <w:r>
              <w:rPr>
                <w:sz w:val="18"/>
              </w:rPr>
              <w:t xml:space="preserve">узлы связи сетей      </w:t>
            </w:r>
          </w:p>
          <w:p w:rsidR="0030066A" w:rsidRDefault="0030066A">
            <w:pPr>
              <w:pStyle w:val="ConsPlusNonformat"/>
              <w:jc w:val="both"/>
            </w:pPr>
            <w:r>
              <w:rPr>
                <w:sz w:val="18"/>
              </w:rPr>
              <w:t xml:space="preserve">местной телефонной    </w:t>
            </w:r>
          </w:p>
          <w:p w:rsidR="0030066A" w:rsidRDefault="0030066A">
            <w:pPr>
              <w:pStyle w:val="ConsPlusNonformat"/>
              <w:jc w:val="both"/>
            </w:pPr>
            <w:r>
              <w:rPr>
                <w:sz w:val="18"/>
              </w:rPr>
              <w:t xml:space="preserve">связи с количеством   </w:t>
            </w:r>
          </w:p>
          <w:p w:rsidR="0030066A" w:rsidRDefault="0030066A">
            <w:pPr>
              <w:pStyle w:val="ConsPlusNonformat"/>
              <w:jc w:val="both"/>
            </w:pPr>
            <w:r>
              <w:rPr>
                <w:sz w:val="18"/>
              </w:rPr>
              <w:t xml:space="preserve">портов более 10000, а </w:t>
            </w:r>
          </w:p>
          <w:p w:rsidR="0030066A" w:rsidRDefault="0030066A">
            <w:pPr>
              <w:pStyle w:val="ConsPlusNonformat"/>
              <w:jc w:val="both"/>
            </w:pPr>
            <w:r>
              <w:rPr>
                <w:sz w:val="18"/>
              </w:rPr>
              <w:t xml:space="preserve">также транзитные и    </w:t>
            </w:r>
          </w:p>
          <w:p w:rsidR="0030066A" w:rsidRDefault="0030066A">
            <w:pPr>
              <w:pStyle w:val="ConsPlusNonformat"/>
              <w:jc w:val="both"/>
            </w:pPr>
            <w:r>
              <w:rPr>
                <w:sz w:val="18"/>
              </w:rPr>
              <w:t xml:space="preserve">оконечно-транзитные   </w:t>
            </w:r>
          </w:p>
          <w:p w:rsidR="0030066A" w:rsidRDefault="0030066A">
            <w:pPr>
              <w:pStyle w:val="ConsPlusNonformat"/>
              <w:jc w:val="both"/>
            </w:pPr>
            <w:r>
              <w:rPr>
                <w:sz w:val="18"/>
              </w:rPr>
              <w:t xml:space="preserve">узлы связи сетей      </w:t>
            </w:r>
          </w:p>
          <w:p w:rsidR="0030066A" w:rsidRDefault="0030066A">
            <w:pPr>
              <w:pStyle w:val="ConsPlusNonformat"/>
              <w:jc w:val="both"/>
            </w:pPr>
            <w:r>
              <w:rPr>
                <w:sz w:val="18"/>
              </w:rPr>
              <w:t xml:space="preserve">местной телефонной    </w:t>
            </w:r>
          </w:p>
          <w:p w:rsidR="0030066A" w:rsidRDefault="0030066A">
            <w:pPr>
              <w:pStyle w:val="ConsPlusNonformat"/>
              <w:jc w:val="both"/>
            </w:pPr>
            <w:r>
              <w:rPr>
                <w:sz w:val="18"/>
              </w:rPr>
              <w:t xml:space="preserve">связи, которые        </w:t>
            </w:r>
          </w:p>
          <w:p w:rsidR="0030066A" w:rsidRDefault="0030066A">
            <w:pPr>
              <w:pStyle w:val="ConsPlusNonformat"/>
              <w:jc w:val="both"/>
            </w:pPr>
            <w:r>
              <w:rPr>
                <w:sz w:val="18"/>
              </w:rPr>
              <w:t xml:space="preserve">соединяются с узлами  </w:t>
            </w:r>
          </w:p>
          <w:p w:rsidR="0030066A" w:rsidRDefault="0030066A">
            <w:pPr>
              <w:pStyle w:val="ConsPlusNonformat"/>
              <w:jc w:val="both"/>
            </w:pPr>
            <w:r>
              <w:rPr>
                <w:sz w:val="18"/>
              </w:rPr>
              <w:t xml:space="preserve">обслуживания вызовов  </w:t>
            </w:r>
          </w:p>
          <w:p w:rsidR="0030066A" w:rsidRDefault="0030066A">
            <w:pPr>
              <w:pStyle w:val="ConsPlusNonformat"/>
              <w:jc w:val="both"/>
            </w:pPr>
            <w:r>
              <w:rPr>
                <w:sz w:val="18"/>
              </w:rPr>
              <w:t xml:space="preserve">экстренных            </w:t>
            </w:r>
          </w:p>
          <w:p w:rsidR="0030066A" w:rsidRDefault="0030066A">
            <w:pPr>
              <w:pStyle w:val="ConsPlusNonformat"/>
              <w:jc w:val="both"/>
            </w:pPr>
            <w:r>
              <w:rPr>
                <w:sz w:val="18"/>
              </w:rPr>
              <w:t xml:space="preserve">оперативных служб     </w:t>
            </w:r>
          </w:p>
        </w:tc>
        <w:tc>
          <w:tcPr>
            <w:tcW w:w="2376" w:type="dxa"/>
            <w:tcBorders>
              <w:top w:val="nil"/>
            </w:tcBorders>
          </w:tcPr>
          <w:p w:rsidR="0030066A" w:rsidRDefault="0030066A">
            <w:pPr>
              <w:pStyle w:val="ConsPlusNonformat"/>
              <w:jc w:val="both"/>
            </w:pPr>
            <w:r>
              <w:rPr>
                <w:sz w:val="18"/>
              </w:rPr>
              <w:t xml:space="preserve">узлы связи сети     </w:t>
            </w:r>
          </w:p>
          <w:p w:rsidR="0030066A" w:rsidRDefault="0030066A">
            <w:pPr>
              <w:pStyle w:val="ConsPlusNonformat"/>
              <w:jc w:val="both"/>
            </w:pPr>
            <w:r>
              <w:rPr>
                <w:sz w:val="18"/>
              </w:rPr>
              <w:t xml:space="preserve">местной телефонной  </w:t>
            </w:r>
          </w:p>
          <w:p w:rsidR="0030066A" w:rsidRDefault="0030066A">
            <w:pPr>
              <w:pStyle w:val="ConsPlusNonformat"/>
              <w:jc w:val="both"/>
            </w:pPr>
            <w:r>
              <w:rPr>
                <w:sz w:val="18"/>
              </w:rPr>
              <w:t xml:space="preserve">связи с количеством </w:t>
            </w:r>
          </w:p>
          <w:p w:rsidR="0030066A" w:rsidRDefault="0030066A">
            <w:pPr>
              <w:pStyle w:val="ConsPlusNonformat"/>
              <w:jc w:val="both"/>
            </w:pPr>
            <w:r>
              <w:rPr>
                <w:sz w:val="18"/>
              </w:rPr>
              <w:t xml:space="preserve">портов от 1024 до   </w:t>
            </w:r>
          </w:p>
          <w:p w:rsidR="0030066A" w:rsidRDefault="0030066A">
            <w:pPr>
              <w:pStyle w:val="ConsPlusNonformat"/>
              <w:jc w:val="both"/>
            </w:pPr>
            <w:r>
              <w:rPr>
                <w:sz w:val="18"/>
              </w:rPr>
              <w:t xml:space="preserve">10000, за           </w:t>
            </w:r>
          </w:p>
          <w:p w:rsidR="0030066A" w:rsidRDefault="0030066A">
            <w:pPr>
              <w:pStyle w:val="ConsPlusNonformat"/>
              <w:jc w:val="both"/>
            </w:pPr>
            <w:r>
              <w:rPr>
                <w:sz w:val="18"/>
              </w:rPr>
              <w:t xml:space="preserve">исключением         </w:t>
            </w:r>
          </w:p>
          <w:p w:rsidR="0030066A" w:rsidRDefault="0030066A">
            <w:pPr>
              <w:pStyle w:val="ConsPlusNonformat"/>
              <w:jc w:val="both"/>
            </w:pPr>
            <w:r>
              <w:rPr>
                <w:sz w:val="18"/>
              </w:rPr>
              <w:t xml:space="preserve">транзитных и        </w:t>
            </w:r>
          </w:p>
          <w:p w:rsidR="0030066A" w:rsidRDefault="0030066A">
            <w:pPr>
              <w:pStyle w:val="ConsPlusNonformat"/>
              <w:jc w:val="both"/>
            </w:pPr>
            <w:r>
              <w:rPr>
                <w:sz w:val="18"/>
              </w:rPr>
              <w:t xml:space="preserve">оконечно-транзитных </w:t>
            </w:r>
          </w:p>
          <w:p w:rsidR="0030066A" w:rsidRDefault="0030066A">
            <w:pPr>
              <w:pStyle w:val="ConsPlusNonformat"/>
              <w:jc w:val="both"/>
            </w:pPr>
            <w:r>
              <w:rPr>
                <w:sz w:val="18"/>
              </w:rPr>
              <w:t>узлов связи, которые</w:t>
            </w:r>
          </w:p>
          <w:p w:rsidR="0030066A" w:rsidRDefault="0030066A">
            <w:pPr>
              <w:pStyle w:val="ConsPlusNonformat"/>
              <w:jc w:val="both"/>
            </w:pPr>
            <w:r>
              <w:rPr>
                <w:sz w:val="18"/>
              </w:rPr>
              <w:t xml:space="preserve">соединяются с       </w:t>
            </w:r>
          </w:p>
          <w:p w:rsidR="0030066A" w:rsidRDefault="0030066A">
            <w:pPr>
              <w:pStyle w:val="ConsPlusNonformat"/>
              <w:jc w:val="both"/>
            </w:pPr>
            <w:r>
              <w:rPr>
                <w:sz w:val="18"/>
              </w:rPr>
              <w:t xml:space="preserve">узлами обслуживания </w:t>
            </w:r>
          </w:p>
          <w:p w:rsidR="0030066A" w:rsidRDefault="0030066A">
            <w:pPr>
              <w:pStyle w:val="ConsPlusNonformat"/>
              <w:jc w:val="both"/>
            </w:pPr>
            <w:r>
              <w:rPr>
                <w:sz w:val="18"/>
              </w:rPr>
              <w:t xml:space="preserve">вызовов экстренных  </w:t>
            </w:r>
          </w:p>
          <w:p w:rsidR="0030066A" w:rsidRDefault="0030066A">
            <w:pPr>
              <w:pStyle w:val="ConsPlusNonformat"/>
              <w:jc w:val="both"/>
            </w:pPr>
            <w:r>
              <w:rPr>
                <w:sz w:val="18"/>
              </w:rPr>
              <w:t xml:space="preserve">оперативных служб   </w:t>
            </w:r>
          </w:p>
        </w:tc>
        <w:tc>
          <w:tcPr>
            <w:tcW w:w="2052" w:type="dxa"/>
            <w:tcBorders>
              <w:top w:val="nil"/>
            </w:tcBorders>
          </w:tcPr>
          <w:p w:rsidR="0030066A" w:rsidRDefault="0030066A">
            <w:pPr>
              <w:pStyle w:val="ConsPlusNonformat"/>
              <w:jc w:val="both"/>
            </w:pPr>
            <w:r>
              <w:rPr>
                <w:sz w:val="18"/>
              </w:rPr>
              <w:t xml:space="preserve">узлы связи сети  </w:t>
            </w:r>
          </w:p>
          <w:p w:rsidR="0030066A" w:rsidRDefault="0030066A">
            <w:pPr>
              <w:pStyle w:val="ConsPlusNonformat"/>
              <w:jc w:val="both"/>
            </w:pPr>
            <w:r>
              <w:rPr>
                <w:sz w:val="18"/>
              </w:rPr>
              <w:t xml:space="preserve">местной          </w:t>
            </w:r>
          </w:p>
          <w:p w:rsidR="0030066A" w:rsidRDefault="0030066A">
            <w:pPr>
              <w:pStyle w:val="ConsPlusNonformat"/>
              <w:jc w:val="both"/>
            </w:pPr>
            <w:r>
              <w:rPr>
                <w:sz w:val="18"/>
              </w:rPr>
              <w:t xml:space="preserve">телефонной связи </w:t>
            </w:r>
          </w:p>
          <w:p w:rsidR="0030066A" w:rsidRDefault="0030066A">
            <w:pPr>
              <w:pStyle w:val="ConsPlusNonformat"/>
              <w:jc w:val="both"/>
            </w:pPr>
            <w:r>
              <w:rPr>
                <w:sz w:val="18"/>
              </w:rPr>
              <w:t xml:space="preserve">с количеством    </w:t>
            </w:r>
          </w:p>
          <w:p w:rsidR="0030066A" w:rsidRDefault="0030066A">
            <w:pPr>
              <w:pStyle w:val="ConsPlusNonformat"/>
              <w:jc w:val="both"/>
            </w:pPr>
            <w:r>
              <w:rPr>
                <w:sz w:val="18"/>
              </w:rPr>
              <w:t xml:space="preserve">портов до 1024   </w:t>
            </w:r>
          </w:p>
        </w:tc>
      </w:tr>
      <w:tr w:rsidR="0030066A">
        <w:trPr>
          <w:trHeight w:val="240"/>
        </w:trPr>
        <w:tc>
          <w:tcPr>
            <w:tcW w:w="1944" w:type="dxa"/>
            <w:tcBorders>
              <w:top w:val="nil"/>
            </w:tcBorders>
          </w:tcPr>
          <w:p w:rsidR="0030066A" w:rsidRDefault="0030066A">
            <w:pPr>
              <w:pStyle w:val="ConsPlusNonformat"/>
              <w:jc w:val="both"/>
            </w:pPr>
            <w:r>
              <w:rPr>
                <w:sz w:val="18"/>
              </w:rPr>
              <w:t xml:space="preserve">Сети подвижной  </w:t>
            </w:r>
          </w:p>
          <w:p w:rsidR="0030066A" w:rsidRDefault="0030066A">
            <w:pPr>
              <w:pStyle w:val="ConsPlusNonformat"/>
              <w:jc w:val="both"/>
            </w:pPr>
            <w:r>
              <w:rPr>
                <w:sz w:val="18"/>
              </w:rPr>
              <w:t>радиосвязи, сети</w:t>
            </w:r>
          </w:p>
          <w:p w:rsidR="0030066A" w:rsidRDefault="0030066A">
            <w:pPr>
              <w:pStyle w:val="ConsPlusNonformat"/>
              <w:jc w:val="both"/>
            </w:pPr>
            <w:r>
              <w:rPr>
                <w:sz w:val="18"/>
              </w:rPr>
              <w:t xml:space="preserve">подвижной       </w:t>
            </w:r>
          </w:p>
          <w:p w:rsidR="0030066A" w:rsidRDefault="0030066A">
            <w:pPr>
              <w:pStyle w:val="ConsPlusNonformat"/>
              <w:jc w:val="both"/>
            </w:pPr>
            <w:r>
              <w:rPr>
                <w:sz w:val="18"/>
              </w:rPr>
              <w:t xml:space="preserve">радиотелефонной </w:t>
            </w:r>
          </w:p>
          <w:p w:rsidR="0030066A" w:rsidRDefault="0030066A">
            <w:pPr>
              <w:pStyle w:val="ConsPlusNonformat"/>
              <w:jc w:val="both"/>
            </w:pPr>
            <w:r>
              <w:rPr>
                <w:sz w:val="18"/>
              </w:rPr>
              <w:t xml:space="preserve">связи, сети     </w:t>
            </w:r>
          </w:p>
          <w:p w:rsidR="0030066A" w:rsidRDefault="0030066A">
            <w:pPr>
              <w:pStyle w:val="ConsPlusNonformat"/>
              <w:jc w:val="both"/>
            </w:pPr>
            <w:r>
              <w:rPr>
                <w:sz w:val="18"/>
              </w:rPr>
              <w:t xml:space="preserve">подвижной       </w:t>
            </w:r>
          </w:p>
          <w:p w:rsidR="0030066A" w:rsidRDefault="0030066A">
            <w:pPr>
              <w:pStyle w:val="ConsPlusNonformat"/>
              <w:jc w:val="both"/>
            </w:pPr>
            <w:r>
              <w:rPr>
                <w:sz w:val="18"/>
              </w:rPr>
              <w:t xml:space="preserve">спутниковой     </w:t>
            </w:r>
          </w:p>
          <w:p w:rsidR="0030066A" w:rsidRDefault="0030066A">
            <w:pPr>
              <w:pStyle w:val="ConsPlusNonformat"/>
              <w:jc w:val="both"/>
            </w:pPr>
            <w:r>
              <w:rPr>
                <w:sz w:val="18"/>
              </w:rPr>
              <w:t xml:space="preserve">радиосвязи      </w:t>
            </w:r>
          </w:p>
        </w:tc>
        <w:tc>
          <w:tcPr>
            <w:tcW w:w="2592" w:type="dxa"/>
            <w:tcBorders>
              <w:top w:val="nil"/>
            </w:tcBorders>
          </w:tcPr>
          <w:p w:rsidR="0030066A" w:rsidRDefault="0030066A">
            <w:pPr>
              <w:pStyle w:val="ConsPlusNonformat"/>
              <w:jc w:val="both"/>
            </w:pPr>
            <w:r>
              <w:rPr>
                <w:sz w:val="18"/>
              </w:rPr>
              <w:t xml:space="preserve">узлы связи сети       </w:t>
            </w:r>
          </w:p>
          <w:p w:rsidR="0030066A" w:rsidRDefault="0030066A">
            <w:pPr>
              <w:pStyle w:val="ConsPlusNonformat"/>
              <w:jc w:val="both"/>
            </w:pPr>
            <w:r>
              <w:rPr>
                <w:sz w:val="18"/>
              </w:rPr>
              <w:t xml:space="preserve">подвижной радиосвязи, </w:t>
            </w:r>
          </w:p>
          <w:p w:rsidR="0030066A" w:rsidRDefault="0030066A">
            <w:pPr>
              <w:pStyle w:val="ConsPlusNonformat"/>
              <w:jc w:val="both"/>
            </w:pPr>
            <w:r>
              <w:rPr>
                <w:sz w:val="18"/>
              </w:rPr>
              <w:t xml:space="preserve">узлы связи сети       </w:t>
            </w:r>
          </w:p>
          <w:p w:rsidR="0030066A" w:rsidRDefault="0030066A">
            <w:pPr>
              <w:pStyle w:val="ConsPlusNonformat"/>
              <w:jc w:val="both"/>
            </w:pPr>
            <w:r>
              <w:rPr>
                <w:sz w:val="18"/>
              </w:rPr>
              <w:t xml:space="preserve">подвижной             </w:t>
            </w:r>
          </w:p>
          <w:p w:rsidR="0030066A" w:rsidRDefault="0030066A">
            <w:pPr>
              <w:pStyle w:val="ConsPlusNonformat"/>
              <w:jc w:val="both"/>
            </w:pPr>
            <w:r>
              <w:rPr>
                <w:sz w:val="18"/>
              </w:rPr>
              <w:t xml:space="preserve">радиотелефонной       </w:t>
            </w:r>
          </w:p>
          <w:p w:rsidR="0030066A" w:rsidRDefault="0030066A">
            <w:pPr>
              <w:pStyle w:val="ConsPlusNonformat"/>
              <w:jc w:val="both"/>
            </w:pPr>
            <w:r>
              <w:rPr>
                <w:sz w:val="18"/>
              </w:rPr>
              <w:t xml:space="preserve">связи, узлы связи     </w:t>
            </w:r>
          </w:p>
          <w:p w:rsidR="0030066A" w:rsidRDefault="0030066A">
            <w:pPr>
              <w:pStyle w:val="ConsPlusNonformat"/>
              <w:jc w:val="both"/>
            </w:pPr>
            <w:r>
              <w:rPr>
                <w:sz w:val="18"/>
              </w:rPr>
              <w:t xml:space="preserve">в составе наземных    </w:t>
            </w:r>
          </w:p>
          <w:p w:rsidR="0030066A" w:rsidRDefault="0030066A">
            <w:pPr>
              <w:pStyle w:val="ConsPlusNonformat"/>
              <w:jc w:val="both"/>
            </w:pPr>
            <w:r>
              <w:rPr>
                <w:sz w:val="18"/>
              </w:rPr>
              <w:t xml:space="preserve">станций сопряжения    </w:t>
            </w:r>
          </w:p>
          <w:p w:rsidR="0030066A" w:rsidRDefault="0030066A">
            <w:pPr>
              <w:pStyle w:val="ConsPlusNonformat"/>
              <w:jc w:val="both"/>
            </w:pPr>
            <w:r>
              <w:rPr>
                <w:sz w:val="18"/>
              </w:rPr>
              <w:t xml:space="preserve">сети подвижной        </w:t>
            </w:r>
          </w:p>
          <w:p w:rsidR="0030066A" w:rsidRDefault="0030066A">
            <w:pPr>
              <w:pStyle w:val="ConsPlusNonformat"/>
              <w:jc w:val="both"/>
            </w:pPr>
            <w:r>
              <w:rPr>
                <w:sz w:val="18"/>
              </w:rPr>
              <w:t xml:space="preserve">спутниковой           </w:t>
            </w:r>
          </w:p>
          <w:p w:rsidR="0030066A" w:rsidRDefault="0030066A">
            <w:pPr>
              <w:pStyle w:val="ConsPlusNonformat"/>
              <w:jc w:val="both"/>
            </w:pPr>
            <w:r>
              <w:rPr>
                <w:sz w:val="18"/>
              </w:rPr>
              <w:t xml:space="preserve">радиосвязи            </w:t>
            </w:r>
          </w:p>
        </w:tc>
        <w:tc>
          <w:tcPr>
            <w:tcW w:w="2376" w:type="dxa"/>
            <w:tcBorders>
              <w:top w:val="nil"/>
            </w:tcBorders>
          </w:tcPr>
          <w:p w:rsidR="0030066A" w:rsidRDefault="0030066A">
            <w:pPr>
              <w:pStyle w:val="ConsPlusNonformat"/>
              <w:jc w:val="both"/>
            </w:pPr>
          </w:p>
        </w:tc>
        <w:tc>
          <w:tcPr>
            <w:tcW w:w="2052" w:type="dxa"/>
            <w:tcBorders>
              <w:top w:val="nil"/>
            </w:tcBorders>
          </w:tcPr>
          <w:p w:rsidR="0030066A" w:rsidRDefault="0030066A">
            <w:pPr>
              <w:pStyle w:val="ConsPlusNonformat"/>
              <w:jc w:val="both"/>
            </w:pPr>
          </w:p>
        </w:tc>
      </w:tr>
      <w:tr w:rsidR="0030066A">
        <w:trPr>
          <w:trHeight w:val="240"/>
        </w:trPr>
        <w:tc>
          <w:tcPr>
            <w:tcW w:w="1944" w:type="dxa"/>
            <w:tcBorders>
              <w:top w:val="nil"/>
            </w:tcBorders>
          </w:tcPr>
          <w:p w:rsidR="0030066A" w:rsidRDefault="0030066A">
            <w:pPr>
              <w:pStyle w:val="ConsPlusNonformat"/>
              <w:jc w:val="both"/>
            </w:pPr>
            <w:r>
              <w:rPr>
                <w:sz w:val="18"/>
              </w:rPr>
              <w:lastRenderedPageBreak/>
              <w:t xml:space="preserve">Сети передачи   </w:t>
            </w:r>
          </w:p>
          <w:p w:rsidR="0030066A" w:rsidRDefault="0030066A">
            <w:pPr>
              <w:pStyle w:val="ConsPlusNonformat"/>
              <w:jc w:val="both"/>
            </w:pPr>
            <w:r>
              <w:rPr>
                <w:sz w:val="18"/>
              </w:rPr>
              <w:t xml:space="preserve">данных          </w:t>
            </w:r>
          </w:p>
        </w:tc>
        <w:tc>
          <w:tcPr>
            <w:tcW w:w="2592" w:type="dxa"/>
            <w:tcBorders>
              <w:top w:val="nil"/>
            </w:tcBorders>
          </w:tcPr>
          <w:p w:rsidR="0030066A" w:rsidRDefault="0030066A">
            <w:pPr>
              <w:pStyle w:val="ConsPlusNonformat"/>
              <w:jc w:val="both"/>
            </w:pPr>
            <w:r>
              <w:rPr>
                <w:sz w:val="18"/>
              </w:rPr>
              <w:t xml:space="preserve">международные         </w:t>
            </w:r>
          </w:p>
          <w:p w:rsidR="0030066A" w:rsidRDefault="0030066A">
            <w:pPr>
              <w:pStyle w:val="ConsPlusNonformat"/>
              <w:jc w:val="both"/>
            </w:pPr>
            <w:r>
              <w:rPr>
                <w:sz w:val="18"/>
              </w:rPr>
              <w:t xml:space="preserve">транзитные узлы       </w:t>
            </w:r>
          </w:p>
          <w:p w:rsidR="0030066A" w:rsidRDefault="0030066A">
            <w:pPr>
              <w:pStyle w:val="ConsPlusNonformat"/>
              <w:jc w:val="both"/>
            </w:pPr>
            <w:r>
              <w:rPr>
                <w:sz w:val="18"/>
              </w:rPr>
              <w:t xml:space="preserve">связи                 </w:t>
            </w:r>
          </w:p>
        </w:tc>
        <w:tc>
          <w:tcPr>
            <w:tcW w:w="2376" w:type="dxa"/>
            <w:tcBorders>
              <w:top w:val="nil"/>
            </w:tcBorders>
          </w:tcPr>
          <w:p w:rsidR="0030066A" w:rsidRDefault="0030066A">
            <w:pPr>
              <w:pStyle w:val="ConsPlusNonformat"/>
              <w:jc w:val="both"/>
            </w:pPr>
            <w:r>
              <w:rPr>
                <w:sz w:val="18"/>
              </w:rPr>
              <w:t xml:space="preserve">транзитные узлы     </w:t>
            </w:r>
          </w:p>
          <w:p w:rsidR="0030066A" w:rsidRDefault="0030066A">
            <w:pPr>
              <w:pStyle w:val="ConsPlusNonformat"/>
              <w:jc w:val="both"/>
            </w:pPr>
            <w:r>
              <w:rPr>
                <w:sz w:val="18"/>
              </w:rPr>
              <w:t xml:space="preserve">связи               </w:t>
            </w:r>
          </w:p>
        </w:tc>
        <w:tc>
          <w:tcPr>
            <w:tcW w:w="2052" w:type="dxa"/>
            <w:tcBorders>
              <w:top w:val="nil"/>
            </w:tcBorders>
          </w:tcPr>
          <w:p w:rsidR="0030066A" w:rsidRDefault="0030066A">
            <w:pPr>
              <w:pStyle w:val="ConsPlusNonformat"/>
              <w:jc w:val="both"/>
            </w:pPr>
            <w:r>
              <w:rPr>
                <w:sz w:val="18"/>
              </w:rPr>
              <w:t xml:space="preserve">оконечные узлы   </w:t>
            </w:r>
          </w:p>
          <w:p w:rsidR="0030066A" w:rsidRDefault="0030066A">
            <w:pPr>
              <w:pStyle w:val="ConsPlusNonformat"/>
              <w:jc w:val="both"/>
            </w:pPr>
            <w:r>
              <w:rPr>
                <w:sz w:val="18"/>
              </w:rPr>
              <w:t xml:space="preserve">связи, оконечно- </w:t>
            </w:r>
          </w:p>
          <w:p w:rsidR="0030066A" w:rsidRDefault="0030066A">
            <w:pPr>
              <w:pStyle w:val="ConsPlusNonformat"/>
              <w:jc w:val="both"/>
            </w:pPr>
            <w:r>
              <w:rPr>
                <w:sz w:val="18"/>
              </w:rPr>
              <w:t xml:space="preserve">транзитные узлы  </w:t>
            </w:r>
          </w:p>
          <w:p w:rsidR="0030066A" w:rsidRDefault="0030066A">
            <w:pPr>
              <w:pStyle w:val="ConsPlusNonformat"/>
              <w:jc w:val="both"/>
            </w:pPr>
            <w:r>
              <w:rPr>
                <w:sz w:val="18"/>
              </w:rPr>
              <w:t xml:space="preserve">связи            </w:t>
            </w:r>
          </w:p>
        </w:tc>
      </w:tr>
      <w:tr w:rsidR="0030066A">
        <w:trPr>
          <w:trHeight w:val="240"/>
        </w:trPr>
        <w:tc>
          <w:tcPr>
            <w:tcW w:w="1944" w:type="dxa"/>
            <w:tcBorders>
              <w:top w:val="nil"/>
            </w:tcBorders>
          </w:tcPr>
          <w:p w:rsidR="0030066A" w:rsidRDefault="0030066A">
            <w:pPr>
              <w:pStyle w:val="ConsPlusNonformat"/>
              <w:jc w:val="both"/>
            </w:pPr>
            <w:r>
              <w:rPr>
                <w:sz w:val="18"/>
              </w:rPr>
              <w:t>Сети телеграфной</w:t>
            </w:r>
          </w:p>
          <w:p w:rsidR="0030066A" w:rsidRDefault="0030066A">
            <w:pPr>
              <w:pStyle w:val="ConsPlusNonformat"/>
              <w:jc w:val="both"/>
            </w:pPr>
            <w:r>
              <w:rPr>
                <w:sz w:val="18"/>
              </w:rPr>
              <w:t xml:space="preserve">связи           </w:t>
            </w:r>
          </w:p>
        </w:tc>
        <w:tc>
          <w:tcPr>
            <w:tcW w:w="2592" w:type="dxa"/>
            <w:tcBorders>
              <w:top w:val="nil"/>
            </w:tcBorders>
          </w:tcPr>
          <w:p w:rsidR="0030066A" w:rsidRDefault="0030066A">
            <w:pPr>
              <w:pStyle w:val="ConsPlusNonformat"/>
              <w:jc w:val="both"/>
            </w:pPr>
            <w:r>
              <w:rPr>
                <w:sz w:val="18"/>
              </w:rPr>
              <w:t xml:space="preserve">международные         </w:t>
            </w:r>
          </w:p>
          <w:p w:rsidR="0030066A" w:rsidRDefault="0030066A">
            <w:pPr>
              <w:pStyle w:val="ConsPlusNonformat"/>
              <w:jc w:val="both"/>
            </w:pPr>
            <w:r>
              <w:rPr>
                <w:sz w:val="18"/>
              </w:rPr>
              <w:t xml:space="preserve">узлы связи            </w:t>
            </w:r>
          </w:p>
        </w:tc>
        <w:tc>
          <w:tcPr>
            <w:tcW w:w="2376" w:type="dxa"/>
            <w:tcBorders>
              <w:top w:val="nil"/>
            </w:tcBorders>
          </w:tcPr>
          <w:p w:rsidR="0030066A" w:rsidRDefault="0030066A">
            <w:pPr>
              <w:pStyle w:val="ConsPlusNonformat"/>
              <w:jc w:val="both"/>
            </w:pPr>
            <w:r>
              <w:rPr>
                <w:sz w:val="18"/>
              </w:rPr>
              <w:t xml:space="preserve">междугородние       </w:t>
            </w:r>
          </w:p>
          <w:p w:rsidR="0030066A" w:rsidRDefault="0030066A">
            <w:pPr>
              <w:pStyle w:val="ConsPlusNonformat"/>
              <w:jc w:val="both"/>
            </w:pPr>
            <w:r>
              <w:rPr>
                <w:sz w:val="18"/>
              </w:rPr>
              <w:t xml:space="preserve">узлы связи          </w:t>
            </w:r>
          </w:p>
        </w:tc>
        <w:tc>
          <w:tcPr>
            <w:tcW w:w="2052" w:type="dxa"/>
            <w:tcBorders>
              <w:top w:val="nil"/>
            </w:tcBorders>
          </w:tcPr>
          <w:p w:rsidR="0030066A" w:rsidRDefault="0030066A">
            <w:pPr>
              <w:pStyle w:val="ConsPlusNonformat"/>
              <w:jc w:val="both"/>
            </w:pPr>
            <w:r>
              <w:rPr>
                <w:sz w:val="18"/>
              </w:rPr>
              <w:t xml:space="preserve">зоновые узлы     </w:t>
            </w:r>
          </w:p>
          <w:p w:rsidR="0030066A" w:rsidRDefault="0030066A">
            <w:pPr>
              <w:pStyle w:val="ConsPlusNonformat"/>
              <w:jc w:val="both"/>
            </w:pPr>
            <w:r>
              <w:rPr>
                <w:sz w:val="18"/>
              </w:rPr>
              <w:t xml:space="preserve">связи            </w:t>
            </w:r>
          </w:p>
        </w:tc>
      </w:tr>
    </w:tbl>
    <w:p w:rsidR="0030066A" w:rsidRDefault="0030066A">
      <w:pPr>
        <w:pStyle w:val="ConsPlusNormal"/>
        <w:jc w:val="both"/>
      </w:pPr>
    </w:p>
    <w:p w:rsidR="0030066A" w:rsidRDefault="0030066A">
      <w:pPr>
        <w:pStyle w:val="ConsPlusNormal"/>
        <w:jc w:val="both"/>
      </w:pPr>
    </w:p>
    <w:p w:rsidR="0030066A" w:rsidRDefault="0030066A">
      <w:pPr>
        <w:pStyle w:val="ConsPlusNormal"/>
        <w:pBdr>
          <w:top w:val="single" w:sz="6" w:space="0" w:color="auto"/>
        </w:pBdr>
        <w:spacing w:before="100" w:after="100"/>
        <w:jc w:val="both"/>
        <w:rPr>
          <w:sz w:val="2"/>
          <w:szCs w:val="2"/>
        </w:rPr>
      </w:pPr>
    </w:p>
    <w:p w:rsidR="00A3132C" w:rsidRDefault="00A3132C">
      <w:bookmarkStart w:id="2" w:name="_GoBack"/>
      <w:bookmarkEnd w:id="2"/>
    </w:p>
    <w:sectPr w:rsidR="00A3132C" w:rsidSect="00CE6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6A"/>
    <w:rsid w:val="0030066A"/>
    <w:rsid w:val="00A3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6B0F5-5867-4AA9-AB99-BE51B62E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6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0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06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06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C328943E6B91FF66DDE8D02767691935FDA4CE23507DD34E33772EECFD0E750D5CEF3A215E9C3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C328943E6B91FF66DDE8D02767691935BD245E338558A36B2627CEBC780AF409B8BFEA315E83CFFCFL2N" TargetMode="External"/><Relationship Id="rId5" Type="http://schemas.openxmlformats.org/officeDocument/2006/relationships/hyperlink" Target="consultantplus://offline/ref=3C328943E6B91FF66DDE8D02767691935BD245E338558A36B2627CEBC780AF409B8BFEA315E83FF8CFLFN"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10485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2016-12-15T13:11:00Z</dcterms:created>
  <dcterms:modified xsi:type="dcterms:W3CDTF">2016-12-15T13:11:00Z</dcterms:modified>
</cp:coreProperties>
</file>